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0389" w14:textId="77777777" w:rsidR="0051698F" w:rsidRDefault="00000000">
      <w:pPr>
        <w:pStyle w:val="Heading1"/>
      </w:pPr>
      <w:bookmarkStart w:id="0" w:name="yearly-financial-overview"/>
      <w:r>
        <w:t>Yearly Financial Overview</w:t>
      </w:r>
    </w:p>
    <w:p w14:paraId="76AC038A" w14:textId="77777777" w:rsidR="0051698F" w:rsidRDefault="00000000">
      <w:pPr>
        <w:pStyle w:val="FirstParagraph"/>
      </w:pPr>
      <w:r>
        <w:t>This document provides a transparent overview of the financial situation of the project for the selected year. Its goal is to clearly show where funds come from, how they are used, and how they support the long-term objectives of the European Native Trout Challenge.</w:t>
      </w:r>
    </w:p>
    <w:p w14:paraId="76AC038B" w14:textId="77777777" w:rsidR="0051698F" w:rsidRDefault="00000000">
      <w:r>
        <w:pict w14:anchorId="76AC03F6">
          <v:rect id="_x0000_i1025" style="width:0;height:1.5pt" o:hralign="center" o:hrstd="t" o:hr="t"/>
        </w:pict>
      </w:r>
    </w:p>
    <w:p w14:paraId="76AC038C" w14:textId="77777777" w:rsidR="0051698F" w:rsidRDefault="00000000">
      <w:pPr>
        <w:pStyle w:val="Heading2"/>
      </w:pPr>
      <w:bookmarkStart w:id="1" w:name="reporting-period"/>
      <w:r>
        <w:t>1. Reporting Period</w:t>
      </w:r>
    </w:p>
    <w:p w14:paraId="76AC038D" w14:textId="3B223A76" w:rsidR="0051698F" w:rsidRDefault="00000000">
      <w:pPr>
        <w:pStyle w:val="Compact"/>
        <w:numPr>
          <w:ilvl w:val="0"/>
          <w:numId w:val="2"/>
        </w:numPr>
      </w:pPr>
      <w:r>
        <w:rPr>
          <w:b/>
          <w:bCs/>
        </w:rPr>
        <w:t>Year:</w:t>
      </w:r>
      <w:r w:rsidR="00AB6D88">
        <w:rPr>
          <w:b/>
          <w:bCs/>
        </w:rPr>
        <w:t xml:space="preserve"> 2025</w:t>
      </w:r>
    </w:p>
    <w:p w14:paraId="76AC038E" w14:textId="3A9CF58D" w:rsidR="0051698F" w:rsidRDefault="00000000">
      <w:pPr>
        <w:pStyle w:val="Compact"/>
        <w:numPr>
          <w:ilvl w:val="0"/>
          <w:numId w:val="2"/>
        </w:numPr>
      </w:pPr>
      <w:r>
        <w:rPr>
          <w:b/>
          <w:bCs/>
        </w:rPr>
        <w:t>Reporting date:</w:t>
      </w:r>
      <w:r w:rsidR="00AB6D88">
        <w:rPr>
          <w:b/>
          <w:bCs/>
        </w:rPr>
        <w:t xml:space="preserve"> 10-1-2026</w:t>
      </w:r>
    </w:p>
    <w:p w14:paraId="76AC038F" w14:textId="77777777" w:rsidR="0051698F" w:rsidRDefault="00000000">
      <w:pPr>
        <w:pStyle w:val="Compact"/>
        <w:numPr>
          <w:ilvl w:val="0"/>
          <w:numId w:val="2"/>
        </w:numPr>
      </w:pPr>
      <w:r>
        <w:rPr>
          <w:b/>
          <w:bCs/>
        </w:rPr>
        <w:t>Currency:</w:t>
      </w:r>
      <w:r>
        <w:t xml:space="preserve"> EUR</w:t>
      </w:r>
    </w:p>
    <w:p w14:paraId="76AC0390" w14:textId="77777777" w:rsidR="0051698F" w:rsidRDefault="00000000">
      <w:r>
        <w:pict w14:anchorId="76AC03F7">
          <v:rect id="_x0000_i1026" style="width:0;height:1.5pt" o:hralign="center" o:hrstd="t" o:hr="t"/>
        </w:pict>
      </w:r>
    </w:p>
    <w:p w14:paraId="76AC0391" w14:textId="77777777" w:rsidR="0051698F" w:rsidRDefault="00000000">
      <w:pPr>
        <w:pStyle w:val="Heading2"/>
      </w:pPr>
      <w:bookmarkStart w:id="2" w:name="summary-overview"/>
      <w:bookmarkEnd w:id="1"/>
      <w:r>
        <w:t>2. Summary Overview</w:t>
      </w:r>
    </w:p>
    <w:p w14:paraId="76AC0392" w14:textId="77777777" w:rsidR="0051698F" w:rsidRDefault="00000000">
      <w:pPr>
        <w:pStyle w:val="FirstParagraph"/>
      </w:pPr>
      <w:r>
        <w:t>A brief high-level summary of the financial year.</w:t>
      </w:r>
    </w:p>
    <w:p w14:paraId="76AC0393" w14:textId="0A45DBD2" w:rsidR="0051698F" w:rsidRDefault="00000000">
      <w:pPr>
        <w:pStyle w:val="Compact"/>
        <w:numPr>
          <w:ilvl w:val="0"/>
          <w:numId w:val="3"/>
        </w:numPr>
      </w:pPr>
      <w:r>
        <w:rPr>
          <w:b/>
          <w:bCs/>
        </w:rPr>
        <w:t>Total income:</w:t>
      </w:r>
      <w:r>
        <w:t xml:space="preserve"> €</w:t>
      </w:r>
      <w:r w:rsidR="00607E5A">
        <w:t>83</w:t>
      </w:r>
    </w:p>
    <w:p w14:paraId="76AC0394" w14:textId="13AC4585" w:rsidR="0051698F" w:rsidRDefault="00000000">
      <w:pPr>
        <w:pStyle w:val="Compact"/>
        <w:numPr>
          <w:ilvl w:val="0"/>
          <w:numId w:val="3"/>
        </w:numPr>
      </w:pPr>
      <w:r>
        <w:rPr>
          <w:b/>
          <w:bCs/>
        </w:rPr>
        <w:t>Total expenses:</w:t>
      </w:r>
      <w:r>
        <w:t xml:space="preserve"> €</w:t>
      </w:r>
      <w:r w:rsidR="00607E5A">
        <w:t>68</w:t>
      </w:r>
    </w:p>
    <w:p w14:paraId="76AC0395" w14:textId="7087C568" w:rsidR="0051698F" w:rsidRDefault="00000000">
      <w:pPr>
        <w:pStyle w:val="Compact"/>
        <w:numPr>
          <w:ilvl w:val="0"/>
          <w:numId w:val="3"/>
        </w:numPr>
      </w:pPr>
      <w:r>
        <w:rPr>
          <w:b/>
          <w:bCs/>
        </w:rPr>
        <w:t>Net result (surplus / deficit):</w:t>
      </w:r>
      <w:r>
        <w:t xml:space="preserve"> €</w:t>
      </w:r>
      <w:r w:rsidR="00AB6D88">
        <w:t xml:space="preserve"> 15</w:t>
      </w:r>
    </w:p>
    <w:p w14:paraId="76AC0397" w14:textId="72E2BFE7" w:rsidR="0051698F" w:rsidRDefault="00DD368E">
      <w:r w:rsidRPr="00DD368E">
        <w:t xml:space="preserve">In 2025, the project was still in its start-up phase. During this initial period, </w:t>
      </w:r>
      <w:r w:rsidR="008E5F86" w:rsidRPr="008E5F86">
        <w:t>No operational or external funding income</w:t>
      </w:r>
      <w:r w:rsidR="0017523F">
        <w:t xml:space="preserve"> was generated </w:t>
      </w:r>
      <w:r w:rsidRPr="00DD368E">
        <w:t xml:space="preserve">and </w:t>
      </w:r>
      <w:r w:rsidR="0017523F" w:rsidRPr="0017523F">
        <w:t>No conservation or project activity expenses beyond basic infrastructure</w:t>
      </w:r>
      <w:r w:rsidRPr="00DD368E">
        <w:t xml:space="preserve"> were recorded. Core costs such as website hosting and basic infrastructure were covered privately by the project founder. The focus of the year was on building the foundational structure, content, and long-term vision of the European Native Trout Challenge rather than on financial activity.</w:t>
      </w:r>
      <w:r w:rsidR="00000000">
        <w:pict w14:anchorId="76AC03F8">
          <v:rect id="_x0000_i1027" style="width:0;height:1.5pt" o:hralign="center" o:hrstd="t" o:hr="t"/>
        </w:pict>
      </w:r>
    </w:p>
    <w:p w14:paraId="4B5FAD1B" w14:textId="77777777" w:rsidR="00D42C20" w:rsidRDefault="00D42C20">
      <w:pPr>
        <w:rPr>
          <w:rFonts w:asciiTheme="majorHAnsi" w:eastAsiaTheme="majorEastAsia" w:hAnsiTheme="majorHAnsi" w:cstheme="majorBidi"/>
          <w:color w:val="0F4761" w:themeColor="accent1" w:themeShade="BF"/>
          <w:sz w:val="32"/>
          <w:szCs w:val="32"/>
        </w:rPr>
      </w:pPr>
      <w:bookmarkStart w:id="3" w:name="income"/>
      <w:bookmarkEnd w:id="2"/>
      <w:r>
        <w:br w:type="page"/>
      </w:r>
    </w:p>
    <w:p w14:paraId="76AC0398" w14:textId="7A3B2DF9" w:rsidR="0051698F" w:rsidRDefault="00000000">
      <w:pPr>
        <w:pStyle w:val="Heading2"/>
      </w:pPr>
      <w:r>
        <w:lastRenderedPageBreak/>
        <w:t>3. Income</w:t>
      </w:r>
    </w:p>
    <w:p w14:paraId="76AC0399" w14:textId="77777777" w:rsidR="0051698F" w:rsidRDefault="00000000">
      <w:pPr>
        <w:pStyle w:val="FirstParagraph"/>
      </w:pPr>
      <w:r>
        <w:t>Overview of all income sources received during the reporting period.</w:t>
      </w:r>
    </w:p>
    <w:tbl>
      <w:tblPr>
        <w:tblStyle w:val="Table"/>
        <w:tblW w:w="9514" w:type="dxa"/>
        <w:tblLook w:val="0020" w:firstRow="1" w:lastRow="0" w:firstColumn="0" w:lastColumn="0" w:noHBand="0" w:noVBand="0"/>
      </w:tblPr>
      <w:tblGrid>
        <w:gridCol w:w="3369"/>
        <w:gridCol w:w="4026"/>
        <w:gridCol w:w="2119"/>
      </w:tblGrid>
      <w:tr w:rsidR="0051698F" w14:paraId="76AC039D" w14:textId="77777777" w:rsidTr="00FA69D1">
        <w:trPr>
          <w:cnfStyle w:val="100000000000" w:firstRow="1" w:lastRow="0" w:firstColumn="0" w:lastColumn="0" w:oddVBand="0" w:evenVBand="0" w:oddHBand="0" w:evenHBand="0" w:firstRowFirstColumn="0" w:firstRowLastColumn="0" w:lastRowFirstColumn="0" w:lastRowLastColumn="0"/>
          <w:trHeight w:val="417"/>
          <w:tblHeader/>
        </w:trPr>
        <w:tc>
          <w:tcPr>
            <w:tcW w:w="3369" w:type="dxa"/>
          </w:tcPr>
          <w:p w14:paraId="76AC039A" w14:textId="77777777" w:rsidR="0051698F" w:rsidRDefault="00000000">
            <w:pPr>
              <w:pStyle w:val="Compact"/>
            </w:pPr>
            <w:r>
              <w:t>Income Source</w:t>
            </w:r>
          </w:p>
        </w:tc>
        <w:tc>
          <w:tcPr>
            <w:tcW w:w="4026" w:type="dxa"/>
          </w:tcPr>
          <w:p w14:paraId="76AC039B" w14:textId="77777777" w:rsidR="0051698F" w:rsidRDefault="00000000">
            <w:pPr>
              <w:pStyle w:val="Compact"/>
            </w:pPr>
            <w:r>
              <w:t>Description</w:t>
            </w:r>
          </w:p>
        </w:tc>
        <w:tc>
          <w:tcPr>
            <w:tcW w:w="0" w:type="auto"/>
          </w:tcPr>
          <w:p w14:paraId="76AC039C" w14:textId="77777777" w:rsidR="0051698F" w:rsidRDefault="00000000">
            <w:pPr>
              <w:pStyle w:val="Compact"/>
            </w:pPr>
            <w:r>
              <w:t>Amount (€)</w:t>
            </w:r>
          </w:p>
        </w:tc>
      </w:tr>
      <w:tr w:rsidR="0051698F" w14:paraId="76AC03A1" w14:textId="77777777" w:rsidTr="00FA69D1">
        <w:trPr>
          <w:trHeight w:val="434"/>
        </w:trPr>
        <w:tc>
          <w:tcPr>
            <w:tcW w:w="3369" w:type="dxa"/>
          </w:tcPr>
          <w:p w14:paraId="76AC039E" w14:textId="77777777" w:rsidR="0051698F" w:rsidRPr="00607E5A" w:rsidRDefault="00000000">
            <w:pPr>
              <w:pStyle w:val="Compact"/>
              <w:rPr>
                <w:b/>
                <w:bCs/>
              </w:rPr>
            </w:pPr>
            <w:r w:rsidRPr="00607E5A">
              <w:rPr>
                <w:b/>
                <w:bCs/>
              </w:rPr>
              <w:t>Donations</w:t>
            </w:r>
          </w:p>
        </w:tc>
        <w:tc>
          <w:tcPr>
            <w:tcW w:w="4026" w:type="dxa"/>
          </w:tcPr>
          <w:p w14:paraId="76AC039F" w14:textId="77777777" w:rsidR="0051698F" w:rsidRDefault="0051698F">
            <w:pPr>
              <w:pStyle w:val="Compact"/>
            </w:pPr>
          </w:p>
        </w:tc>
        <w:tc>
          <w:tcPr>
            <w:tcW w:w="0" w:type="auto"/>
          </w:tcPr>
          <w:p w14:paraId="76AC03A0" w14:textId="77777777" w:rsidR="0051698F" w:rsidRDefault="0051698F">
            <w:pPr>
              <w:pStyle w:val="Compact"/>
            </w:pPr>
          </w:p>
        </w:tc>
      </w:tr>
      <w:tr w:rsidR="00607E5A" w14:paraId="31D43CEB" w14:textId="77777777" w:rsidTr="00FA69D1">
        <w:trPr>
          <w:trHeight w:val="434"/>
        </w:trPr>
        <w:tc>
          <w:tcPr>
            <w:tcW w:w="3369" w:type="dxa"/>
          </w:tcPr>
          <w:p w14:paraId="08D3DFF2" w14:textId="4C1CAD9D" w:rsidR="00607E5A" w:rsidRPr="00B75F6C" w:rsidRDefault="009224F0">
            <w:pPr>
              <w:pStyle w:val="Compact"/>
            </w:pPr>
            <w:r>
              <w:t>Founder</w:t>
            </w:r>
            <w:r w:rsidR="00B75F6C">
              <w:t xml:space="preserve"> donation</w:t>
            </w:r>
          </w:p>
        </w:tc>
        <w:tc>
          <w:tcPr>
            <w:tcW w:w="4026" w:type="dxa"/>
          </w:tcPr>
          <w:p w14:paraId="4342EFC0" w14:textId="65941CDA" w:rsidR="00607E5A" w:rsidRDefault="0045124B">
            <w:pPr>
              <w:pStyle w:val="Compact"/>
            </w:pPr>
            <w:r>
              <w:t>Payment of the running cost</w:t>
            </w:r>
          </w:p>
        </w:tc>
        <w:tc>
          <w:tcPr>
            <w:tcW w:w="0" w:type="auto"/>
          </w:tcPr>
          <w:p w14:paraId="79F4725C" w14:textId="499E37F3" w:rsidR="00607E5A" w:rsidRDefault="0045124B">
            <w:pPr>
              <w:pStyle w:val="Compact"/>
            </w:pPr>
            <w:r>
              <w:t>€68</w:t>
            </w:r>
          </w:p>
        </w:tc>
      </w:tr>
      <w:tr w:rsidR="0051698F" w14:paraId="76AC03A5" w14:textId="77777777" w:rsidTr="00FA69D1">
        <w:trPr>
          <w:trHeight w:val="417"/>
        </w:trPr>
        <w:tc>
          <w:tcPr>
            <w:tcW w:w="3369" w:type="dxa"/>
          </w:tcPr>
          <w:p w14:paraId="76AC03A2" w14:textId="77777777" w:rsidR="0051698F" w:rsidRPr="00607E5A" w:rsidRDefault="00000000">
            <w:pPr>
              <w:pStyle w:val="Compact"/>
              <w:rPr>
                <w:b/>
                <w:bCs/>
              </w:rPr>
            </w:pPr>
            <w:r w:rsidRPr="00607E5A">
              <w:rPr>
                <w:b/>
                <w:bCs/>
              </w:rPr>
              <w:t>Partnerships / Sponsorships</w:t>
            </w:r>
          </w:p>
        </w:tc>
        <w:tc>
          <w:tcPr>
            <w:tcW w:w="4026" w:type="dxa"/>
          </w:tcPr>
          <w:p w14:paraId="76AC03A3" w14:textId="77777777" w:rsidR="0051698F" w:rsidRDefault="0051698F">
            <w:pPr>
              <w:pStyle w:val="Compact"/>
            </w:pPr>
          </w:p>
        </w:tc>
        <w:tc>
          <w:tcPr>
            <w:tcW w:w="0" w:type="auto"/>
          </w:tcPr>
          <w:p w14:paraId="76AC03A4" w14:textId="77777777" w:rsidR="0051698F" w:rsidRDefault="0051698F">
            <w:pPr>
              <w:pStyle w:val="Compact"/>
            </w:pPr>
          </w:p>
        </w:tc>
      </w:tr>
      <w:tr w:rsidR="00607E5A" w14:paraId="08AF3230" w14:textId="77777777" w:rsidTr="00FA69D1">
        <w:trPr>
          <w:trHeight w:val="417"/>
        </w:trPr>
        <w:tc>
          <w:tcPr>
            <w:tcW w:w="3369" w:type="dxa"/>
          </w:tcPr>
          <w:p w14:paraId="6B3025C2" w14:textId="77777777" w:rsidR="00607E5A" w:rsidRPr="00607E5A" w:rsidRDefault="00607E5A">
            <w:pPr>
              <w:pStyle w:val="Compact"/>
              <w:rPr>
                <w:b/>
                <w:bCs/>
              </w:rPr>
            </w:pPr>
          </w:p>
        </w:tc>
        <w:tc>
          <w:tcPr>
            <w:tcW w:w="4026" w:type="dxa"/>
          </w:tcPr>
          <w:p w14:paraId="31257212" w14:textId="77777777" w:rsidR="00607E5A" w:rsidRDefault="00607E5A">
            <w:pPr>
              <w:pStyle w:val="Compact"/>
            </w:pPr>
          </w:p>
        </w:tc>
        <w:tc>
          <w:tcPr>
            <w:tcW w:w="0" w:type="auto"/>
          </w:tcPr>
          <w:p w14:paraId="0495FA47" w14:textId="77777777" w:rsidR="00607E5A" w:rsidRDefault="00607E5A">
            <w:pPr>
              <w:pStyle w:val="Compact"/>
            </w:pPr>
          </w:p>
        </w:tc>
      </w:tr>
      <w:tr w:rsidR="0051698F" w14:paraId="76AC03A9" w14:textId="77777777" w:rsidTr="00FA69D1">
        <w:trPr>
          <w:trHeight w:val="417"/>
        </w:trPr>
        <w:tc>
          <w:tcPr>
            <w:tcW w:w="3369" w:type="dxa"/>
          </w:tcPr>
          <w:p w14:paraId="76AC03A6" w14:textId="77777777" w:rsidR="0051698F" w:rsidRPr="00607E5A" w:rsidRDefault="00000000">
            <w:pPr>
              <w:pStyle w:val="Compact"/>
              <w:rPr>
                <w:b/>
                <w:bCs/>
              </w:rPr>
            </w:pPr>
            <w:r w:rsidRPr="00607E5A">
              <w:rPr>
                <w:b/>
                <w:bCs/>
              </w:rPr>
              <w:t>Merchandise / Sales</w:t>
            </w:r>
          </w:p>
        </w:tc>
        <w:tc>
          <w:tcPr>
            <w:tcW w:w="4026" w:type="dxa"/>
          </w:tcPr>
          <w:p w14:paraId="76AC03A7" w14:textId="77777777" w:rsidR="0051698F" w:rsidRDefault="0051698F">
            <w:pPr>
              <w:pStyle w:val="Compact"/>
            </w:pPr>
          </w:p>
        </w:tc>
        <w:tc>
          <w:tcPr>
            <w:tcW w:w="0" w:type="auto"/>
          </w:tcPr>
          <w:p w14:paraId="76AC03A8" w14:textId="77777777" w:rsidR="0051698F" w:rsidRDefault="0051698F">
            <w:pPr>
              <w:pStyle w:val="Compact"/>
            </w:pPr>
          </w:p>
        </w:tc>
      </w:tr>
      <w:tr w:rsidR="00607E5A" w14:paraId="4736E722" w14:textId="77777777" w:rsidTr="00FA69D1">
        <w:trPr>
          <w:trHeight w:val="434"/>
        </w:trPr>
        <w:tc>
          <w:tcPr>
            <w:tcW w:w="3369" w:type="dxa"/>
          </w:tcPr>
          <w:p w14:paraId="3A053597" w14:textId="4672E844" w:rsidR="00607E5A" w:rsidRPr="0042337C" w:rsidRDefault="0042337C">
            <w:pPr>
              <w:pStyle w:val="Compact"/>
            </w:pPr>
            <w:r>
              <w:t>Slovenian native slam</w:t>
            </w:r>
          </w:p>
        </w:tc>
        <w:tc>
          <w:tcPr>
            <w:tcW w:w="4026" w:type="dxa"/>
          </w:tcPr>
          <w:p w14:paraId="74E5C44F" w14:textId="2712258B" w:rsidR="00607E5A" w:rsidRDefault="00894526">
            <w:pPr>
              <w:pStyle w:val="Compact"/>
            </w:pPr>
            <w:r>
              <w:t xml:space="preserve">1* </w:t>
            </w:r>
            <w:r w:rsidR="00FA69D1">
              <w:t>Entry fee</w:t>
            </w:r>
          </w:p>
        </w:tc>
        <w:tc>
          <w:tcPr>
            <w:tcW w:w="0" w:type="auto"/>
          </w:tcPr>
          <w:p w14:paraId="2DA8FE77" w14:textId="55D53C1E" w:rsidR="00607E5A" w:rsidRDefault="0045124B">
            <w:pPr>
              <w:pStyle w:val="Compact"/>
            </w:pPr>
            <w:r>
              <w:t>€</w:t>
            </w:r>
            <w:r w:rsidR="00FA69D1">
              <w:t>15</w:t>
            </w:r>
          </w:p>
        </w:tc>
      </w:tr>
      <w:tr w:rsidR="0051698F" w14:paraId="76AC03AD" w14:textId="77777777" w:rsidTr="00FA69D1">
        <w:trPr>
          <w:trHeight w:val="434"/>
        </w:trPr>
        <w:tc>
          <w:tcPr>
            <w:tcW w:w="3369" w:type="dxa"/>
          </w:tcPr>
          <w:p w14:paraId="76AC03AA" w14:textId="77777777" w:rsidR="0051698F" w:rsidRPr="00607E5A" w:rsidRDefault="00000000">
            <w:pPr>
              <w:pStyle w:val="Compact"/>
              <w:rPr>
                <w:b/>
                <w:bCs/>
              </w:rPr>
            </w:pPr>
            <w:r w:rsidRPr="00607E5A">
              <w:rPr>
                <w:b/>
                <w:bCs/>
              </w:rPr>
              <w:t>Grants</w:t>
            </w:r>
          </w:p>
        </w:tc>
        <w:tc>
          <w:tcPr>
            <w:tcW w:w="4026" w:type="dxa"/>
          </w:tcPr>
          <w:p w14:paraId="76AC03AB" w14:textId="77777777" w:rsidR="0051698F" w:rsidRDefault="0051698F">
            <w:pPr>
              <w:pStyle w:val="Compact"/>
            </w:pPr>
          </w:p>
        </w:tc>
        <w:tc>
          <w:tcPr>
            <w:tcW w:w="0" w:type="auto"/>
          </w:tcPr>
          <w:p w14:paraId="76AC03AC" w14:textId="77777777" w:rsidR="0051698F" w:rsidRDefault="0051698F">
            <w:pPr>
              <w:pStyle w:val="Compact"/>
            </w:pPr>
          </w:p>
        </w:tc>
      </w:tr>
      <w:tr w:rsidR="00607E5A" w14:paraId="1E9CD7B6" w14:textId="77777777" w:rsidTr="00FA69D1">
        <w:trPr>
          <w:trHeight w:val="434"/>
        </w:trPr>
        <w:tc>
          <w:tcPr>
            <w:tcW w:w="3369" w:type="dxa"/>
          </w:tcPr>
          <w:p w14:paraId="61F5D9A8" w14:textId="77777777" w:rsidR="00607E5A" w:rsidRPr="00607E5A" w:rsidRDefault="00607E5A">
            <w:pPr>
              <w:pStyle w:val="Compact"/>
              <w:rPr>
                <w:b/>
                <w:bCs/>
              </w:rPr>
            </w:pPr>
          </w:p>
        </w:tc>
        <w:tc>
          <w:tcPr>
            <w:tcW w:w="4026" w:type="dxa"/>
          </w:tcPr>
          <w:p w14:paraId="2FABF1FA" w14:textId="77777777" w:rsidR="00607E5A" w:rsidRDefault="00607E5A">
            <w:pPr>
              <w:pStyle w:val="Compact"/>
            </w:pPr>
          </w:p>
        </w:tc>
        <w:tc>
          <w:tcPr>
            <w:tcW w:w="0" w:type="auto"/>
          </w:tcPr>
          <w:p w14:paraId="726EC588" w14:textId="77777777" w:rsidR="00607E5A" w:rsidRDefault="00607E5A">
            <w:pPr>
              <w:pStyle w:val="Compact"/>
            </w:pPr>
          </w:p>
        </w:tc>
      </w:tr>
      <w:tr w:rsidR="0051698F" w14:paraId="76AC03B1" w14:textId="77777777" w:rsidTr="00FA69D1">
        <w:trPr>
          <w:trHeight w:val="417"/>
        </w:trPr>
        <w:tc>
          <w:tcPr>
            <w:tcW w:w="3369" w:type="dxa"/>
          </w:tcPr>
          <w:p w14:paraId="76AC03AE" w14:textId="77777777" w:rsidR="0051698F" w:rsidRPr="00607E5A" w:rsidRDefault="00000000">
            <w:pPr>
              <w:pStyle w:val="Compact"/>
              <w:rPr>
                <w:b/>
                <w:bCs/>
              </w:rPr>
            </w:pPr>
            <w:r w:rsidRPr="00607E5A">
              <w:rPr>
                <w:b/>
                <w:bCs/>
              </w:rPr>
              <w:t>Other income</w:t>
            </w:r>
          </w:p>
        </w:tc>
        <w:tc>
          <w:tcPr>
            <w:tcW w:w="4026" w:type="dxa"/>
          </w:tcPr>
          <w:p w14:paraId="76AC03AF" w14:textId="77777777" w:rsidR="0051698F" w:rsidRDefault="0051698F">
            <w:pPr>
              <w:pStyle w:val="Compact"/>
            </w:pPr>
          </w:p>
        </w:tc>
        <w:tc>
          <w:tcPr>
            <w:tcW w:w="0" w:type="auto"/>
          </w:tcPr>
          <w:p w14:paraId="76AC03B0" w14:textId="77777777" w:rsidR="0051698F" w:rsidRDefault="0051698F">
            <w:pPr>
              <w:pStyle w:val="Compact"/>
            </w:pPr>
          </w:p>
        </w:tc>
      </w:tr>
      <w:tr w:rsidR="00607E5A" w14:paraId="04FFFE35" w14:textId="77777777" w:rsidTr="00FA69D1">
        <w:trPr>
          <w:trHeight w:val="417"/>
        </w:trPr>
        <w:tc>
          <w:tcPr>
            <w:tcW w:w="3369" w:type="dxa"/>
          </w:tcPr>
          <w:p w14:paraId="350C205F" w14:textId="77777777" w:rsidR="00607E5A" w:rsidRPr="00607E5A" w:rsidRDefault="00607E5A">
            <w:pPr>
              <w:pStyle w:val="Compact"/>
              <w:rPr>
                <w:b/>
                <w:bCs/>
              </w:rPr>
            </w:pPr>
          </w:p>
        </w:tc>
        <w:tc>
          <w:tcPr>
            <w:tcW w:w="4026" w:type="dxa"/>
          </w:tcPr>
          <w:p w14:paraId="2D42A831" w14:textId="77777777" w:rsidR="00607E5A" w:rsidRDefault="00607E5A">
            <w:pPr>
              <w:pStyle w:val="Compact"/>
            </w:pPr>
          </w:p>
        </w:tc>
        <w:tc>
          <w:tcPr>
            <w:tcW w:w="0" w:type="auto"/>
          </w:tcPr>
          <w:p w14:paraId="713B24CF" w14:textId="77777777" w:rsidR="00607E5A" w:rsidRDefault="00607E5A">
            <w:pPr>
              <w:pStyle w:val="Compact"/>
            </w:pPr>
          </w:p>
        </w:tc>
      </w:tr>
      <w:tr w:rsidR="0051698F" w14:paraId="76AC03B5" w14:textId="77777777" w:rsidTr="00FA69D1">
        <w:trPr>
          <w:trHeight w:val="417"/>
        </w:trPr>
        <w:tc>
          <w:tcPr>
            <w:tcW w:w="3369" w:type="dxa"/>
          </w:tcPr>
          <w:p w14:paraId="76AC03B2" w14:textId="77777777" w:rsidR="0051698F" w:rsidRDefault="00000000">
            <w:pPr>
              <w:pStyle w:val="Compact"/>
            </w:pPr>
            <w:r>
              <w:rPr>
                <w:b/>
                <w:bCs/>
              </w:rPr>
              <w:t>Total Income</w:t>
            </w:r>
          </w:p>
        </w:tc>
        <w:tc>
          <w:tcPr>
            <w:tcW w:w="4026" w:type="dxa"/>
          </w:tcPr>
          <w:p w14:paraId="76AC03B3" w14:textId="77777777" w:rsidR="0051698F" w:rsidRDefault="0051698F">
            <w:pPr>
              <w:pStyle w:val="Compact"/>
            </w:pPr>
          </w:p>
        </w:tc>
        <w:tc>
          <w:tcPr>
            <w:tcW w:w="0" w:type="auto"/>
          </w:tcPr>
          <w:p w14:paraId="76AC03B4" w14:textId="77777777" w:rsidR="0051698F" w:rsidRDefault="0051698F">
            <w:pPr>
              <w:pStyle w:val="Compact"/>
            </w:pPr>
          </w:p>
        </w:tc>
      </w:tr>
    </w:tbl>
    <w:p w14:paraId="76AC03B6" w14:textId="77777777" w:rsidR="0051698F" w:rsidRDefault="00000000">
      <w:r>
        <w:pict w14:anchorId="76AC03F9">
          <v:rect id="_x0000_i1028" style="width:0;height:1.5pt" o:hralign="center" o:hrstd="t" o:hr="t"/>
        </w:pict>
      </w:r>
    </w:p>
    <w:p w14:paraId="56F36E68" w14:textId="77777777" w:rsidR="00D42C20" w:rsidRDefault="00D42C20">
      <w:pPr>
        <w:rPr>
          <w:rFonts w:asciiTheme="majorHAnsi" w:eastAsiaTheme="majorEastAsia" w:hAnsiTheme="majorHAnsi" w:cstheme="majorBidi"/>
          <w:color w:val="0F4761" w:themeColor="accent1" w:themeShade="BF"/>
          <w:sz w:val="32"/>
          <w:szCs w:val="32"/>
        </w:rPr>
      </w:pPr>
      <w:bookmarkStart w:id="4" w:name="expenses"/>
      <w:bookmarkEnd w:id="3"/>
      <w:r>
        <w:br w:type="page"/>
      </w:r>
    </w:p>
    <w:p w14:paraId="76AC03B7" w14:textId="3080C432" w:rsidR="0051698F" w:rsidRDefault="00000000">
      <w:pPr>
        <w:pStyle w:val="Heading2"/>
      </w:pPr>
      <w:r>
        <w:lastRenderedPageBreak/>
        <w:t>4. Expenses</w:t>
      </w:r>
    </w:p>
    <w:p w14:paraId="76AC03B8" w14:textId="77777777" w:rsidR="0051698F" w:rsidRDefault="00000000">
      <w:pPr>
        <w:pStyle w:val="FirstParagraph"/>
      </w:pPr>
      <w:r>
        <w:t>Breakdown of expenses by category.</w:t>
      </w:r>
    </w:p>
    <w:tbl>
      <w:tblPr>
        <w:tblStyle w:val="Table"/>
        <w:tblW w:w="9485" w:type="dxa"/>
        <w:tblLook w:val="0020" w:firstRow="1" w:lastRow="0" w:firstColumn="0" w:lastColumn="0" w:noHBand="0" w:noVBand="0"/>
      </w:tblPr>
      <w:tblGrid>
        <w:gridCol w:w="2802"/>
        <w:gridCol w:w="4269"/>
        <w:gridCol w:w="2414"/>
      </w:tblGrid>
      <w:tr w:rsidR="0051698F" w14:paraId="76AC03BC" w14:textId="77777777" w:rsidTr="00C27709">
        <w:trPr>
          <w:cnfStyle w:val="100000000000" w:firstRow="1" w:lastRow="0" w:firstColumn="0" w:lastColumn="0" w:oddVBand="0" w:evenVBand="0" w:oddHBand="0" w:evenHBand="0" w:firstRowFirstColumn="0" w:firstRowLastColumn="0" w:lastRowFirstColumn="0" w:lastRowLastColumn="0"/>
          <w:trHeight w:val="379"/>
          <w:tblHeader/>
        </w:trPr>
        <w:tc>
          <w:tcPr>
            <w:tcW w:w="2802" w:type="dxa"/>
          </w:tcPr>
          <w:p w14:paraId="76AC03B9" w14:textId="77777777" w:rsidR="0051698F" w:rsidRDefault="00000000">
            <w:pPr>
              <w:pStyle w:val="Compact"/>
            </w:pPr>
            <w:r>
              <w:t>Expense Category</w:t>
            </w:r>
          </w:p>
        </w:tc>
        <w:tc>
          <w:tcPr>
            <w:tcW w:w="4269" w:type="dxa"/>
          </w:tcPr>
          <w:p w14:paraId="76AC03BA" w14:textId="77777777" w:rsidR="0051698F" w:rsidRDefault="00000000">
            <w:pPr>
              <w:pStyle w:val="Compact"/>
            </w:pPr>
            <w:r>
              <w:t>Description</w:t>
            </w:r>
          </w:p>
        </w:tc>
        <w:tc>
          <w:tcPr>
            <w:tcW w:w="0" w:type="auto"/>
          </w:tcPr>
          <w:p w14:paraId="76AC03BB" w14:textId="77777777" w:rsidR="0051698F" w:rsidRDefault="00000000">
            <w:pPr>
              <w:pStyle w:val="Compact"/>
            </w:pPr>
            <w:r>
              <w:t>Amount (€)</w:t>
            </w:r>
          </w:p>
        </w:tc>
      </w:tr>
      <w:tr w:rsidR="0051698F" w14:paraId="76AC03C0" w14:textId="77777777" w:rsidTr="00C27709">
        <w:trPr>
          <w:trHeight w:val="395"/>
        </w:trPr>
        <w:tc>
          <w:tcPr>
            <w:tcW w:w="2802" w:type="dxa"/>
          </w:tcPr>
          <w:p w14:paraId="76AC03BD" w14:textId="77777777" w:rsidR="0051698F" w:rsidRPr="00D42C20" w:rsidRDefault="00000000">
            <w:pPr>
              <w:pStyle w:val="Compact"/>
              <w:rPr>
                <w:b/>
                <w:bCs/>
              </w:rPr>
            </w:pPr>
            <w:r w:rsidRPr="00D42C20">
              <w:rPr>
                <w:b/>
                <w:bCs/>
              </w:rPr>
              <w:t>Website &amp; Hosting</w:t>
            </w:r>
          </w:p>
        </w:tc>
        <w:tc>
          <w:tcPr>
            <w:tcW w:w="4269" w:type="dxa"/>
          </w:tcPr>
          <w:p w14:paraId="76AC03BE" w14:textId="77777777" w:rsidR="0051698F" w:rsidRDefault="0051698F">
            <w:pPr>
              <w:pStyle w:val="Compact"/>
            </w:pPr>
          </w:p>
        </w:tc>
        <w:tc>
          <w:tcPr>
            <w:tcW w:w="0" w:type="auto"/>
          </w:tcPr>
          <w:p w14:paraId="76AC03BF" w14:textId="77777777" w:rsidR="0051698F" w:rsidRDefault="0051698F">
            <w:pPr>
              <w:pStyle w:val="Compact"/>
            </w:pPr>
          </w:p>
        </w:tc>
      </w:tr>
      <w:tr w:rsidR="00D42C20" w14:paraId="7C7207CE" w14:textId="77777777" w:rsidTr="00C27709">
        <w:trPr>
          <w:trHeight w:val="395"/>
        </w:trPr>
        <w:tc>
          <w:tcPr>
            <w:tcW w:w="2802" w:type="dxa"/>
          </w:tcPr>
          <w:p w14:paraId="78F1B3C2" w14:textId="334E2EAC" w:rsidR="00D42C20" w:rsidRDefault="00C27709">
            <w:pPr>
              <w:pStyle w:val="Compact"/>
            </w:pPr>
            <w:r>
              <w:t>Website hosting</w:t>
            </w:r>
          </w:p>
        </w:tc>
        <w:tc>
          <w:tcPr>
            <w:tcW w:w="4269" w:type="dxa"/>
          </w:tcPr>
          <w:p w14:paraId="6B8A11E2" w14:textId="08232467" w:rsidR="00D42C20" w:rsidRDefault="00C27709">
            <w:pPr>
              <w:pStyle w:val="Compact"/>
            </w:pPr>
            <w:r>
              <w:t xml:space="preserve">Jan t/m </w:t>
            </w:r>
            <w:r w:rsidR="00E540CC">
              <w:t>A</w:t>
            </w:r>
            <w:r>
              <w:t>pr</w:t>
            </w:r>
            <w:r w:rsidR="00E540CC">
              <w:t>.</w:t>
            </w:r>
          </w:p>
        </w:tc>
        <w:tc>
          <w:tcPr>
            <w:tcW w:w="0" w:type="auto"/>
          </w:tcPr>
          <w:p w14:paraId="2ADD0769" w14:textId="1EFA66BA" w:rsidR="00D42C20" w:rsidRDefault="00887356">
            <w:pPr>
              <w:pStyle w:val="Compact"/>
            </w:pPr>
            <w:r>
              <w:t>€4</w:t>
            </w:r>
          </w:p>
        </w:tc>
      </w:tr>
      <w:tr w:rsidR="00887356" w14:paraId="76CE36CF" w14:textId="77777777" w:rsidTr="00C27709">
        <w:trPr>
          <w:trHeight w:val="395"/>
        </w:trPr>
        <w:tc>
          <w:tcPr>
            <w:tcW w:w="2802" w:type="dxa"/>
          </w:tcPr>
          <w:p w14:paraId="698B2F6F" w14:textId="28979A77" w:rsidR="00887356" w:rsidRDefault="00887356" w:rsidP="00887356">
            <w:pPr>
              <w:pStyle w:val="Compact"/>
            </w:pPr>
            <w:r>
              <w:t>Website hosting</w:t>
            </w:r>
          </w:p>
        </w:tc>
        <w:tc>
          <w:tcPr>
            <w:tcW w:w="4269" w:type="dxa"/>
          </w:tcPr>
          <w:p w14:paraId="1BA79B87" w14:textId="55A11E34" w:rsidR="00887356" w:rsidRDefault="00887356" w:rsidP="00887356">
            <w:pPr>
              <w:pStyle w:val="Compact"/>
            </w:pPr>
            <w:r>
              <w:t xml:space="preserve">May t/m </w:t>
            </w:r>
            <w:r w:rsidR="00E540CC">
              <w:t>D</w:t>
            </w:r>
            <w:r>
              <w:t>ec.</w:t>
            </w:r>
          </w:p>
        </w:tc>
        <w:tc>
          <w:tcPr>
            <w:tcW w:w="0" w:type="auto"/>
          </w:tcPr>
          <w:p w14:paraId="08065A98" w14:textId="546AFDEF" w:rsidR="00887356" w:rsidRDefault="00E540CC" w:rsidP="00887356">
            <w:pPr>
              <w:pStyle w:val="Compact"/>
            </w:pPr>
            <w:r>
              <w:t>€64</w:t>
            </w:r>
          </w:p>
        </w:tc>
      </w:tr>
      <w:tr w:rsidR="00887356" w14:paraId="76AC03C4" w14:textId="77777777" w:rsidTr="00C27709">
        <w:trPr>
          <w:trHeight w:val="379"/>
        </w:trPr>
        <w:tc>
          <w:tcPr>
            <w:tcW w:w="2802" w:type="dxa"/>
          </w:tcPr>
          <w:p w14:paraId="76AC03C1" w14:textId="77777777" w:rsidR="00887356" w:rsidRPr="00E540CC" w:rsidRDefault="00887356" w:rsidP="00887356">
            <w:pPr>
              <w:pStyle w:val="Compact"/>
              <w:rPr>
                <w:b/>
                <w:bCs/>
              </w:rPr>
            </w:pPr>
            <w:r w:rsidRPr="00E540CC">
              <w:rPr>
                <w:b/>
                <w:bCs/>
              </w:rPr>
              <w:t>Software &amp; Tools</w:t>
            </w:r>
          </w:p>
        </w:tc>
        <w:tc>
          <w:tcPr>
            <w:tcW w:w="4269" w:type="dxa"/>
          </w:tcPr>
          <w:p w14:paraId="76AC03C2" w14:textId="77777777" w:rsidR="00887356" w:rsidRDefault="00887356" w:rsidP="00887356">
            <w:pPr>
              <w:pStyle w:val="Compact"/>
            </w:pPr>
          </w:p>
        </w:tc>
        <w:tc>
          <w:tcPr>
            <w:tcW w:w="0" w:type="auto"/>
          </w:tcPr>
          <w:p w14:paraId="76AC03C3" w14:textId="77777777" w:rsidR="00887356" w:rsidRDefault="00887356" w:rsidP="00887356">
            <w:pPr>
              <w:pStyle w:val="Compact"/>
            </w:pPr>
          </w:p>
        </w:tc>
      </w:tr>
      <w:tr w:rsidR="00887356" w14:paraId="2DB435BB" w14:textId="77777777" w:rsidTr="00C27709">
        <w:trPr>
          <w:trHeight w:val="379"/>
        </w:trPr>
        <w:tc>
          <w:tcPr>
            <w:tcW w:w="2802" w:type="dxa"/>
          </w:tcPr>
          <w:p w14:paraId="0BB8C83C" w14:textId="77777777" w:rsidR="00887356" w:rsidRDefault="00887356" w:rsidP="00887356">
            <w:pPr>
              <w:pStyle w:val="Compact"/>
            </w:pPr>
          </w:p>
        </w:tc>
        <w:tc>
          <w:tcPr>
            <w:tcW w:w="4269" w:type="dxa"/>
          </w:tcPr>
          <w:p w14:paraId="4AE65E25" w14:textId="77777777" w:rsidR="00887356" w:rsidRDefault="00887356" w:rsidP="00887356">
            <w:pPr>
              <w:pStyle w:val="Compact"/>
            </w:pPr>
          </w:p>
        </w:tc>
        <w:tc>
          <w:tcPr>
            <w:tcW w:w="0" w:type="auto"/>
          </w:tcPr>
          <w:p w14:paraId="02B67BB3" w14:textId="77777777" w:rsidR="00887356" w:rsidRDefault="00887356" w:rsidP="00887356">
            <w:pPr>
              <w:pStyle w:val="Compact"/>
            </w:pPr>
          </w:p>
        </w:tc>
      </w:tr>
      <w:tr w:rsidR="00887356" w14:paraId="76AC03C8" w14:textId="77777777" w:rsidTr="00C27709">
        <w:trPr>
          <w:trHeight w:val="379"/>
        </w:trPr>
        <w:tc>
          <w:tcPr>
            <w:tcW w:w="2802" w:type="dxa"/>
          </w:tcPr>
          <w:p w14:paraId="76AC03C5" w14:textId="77777777" w:rsidR="00887356" w:rsidRPr="00E540CC" w:rsidRDefault="00887356" w:rsidP="00887356">
            <w:pPr>
              <w:pStyle w:val="Compact"/>
              <w:rPr>
                <w:b/>
                <w:bCs/>
              </w:rPr>
            </w:pPr>
            <w:r w:rsidRPr="00E540CC">
              <w:rPr>
                <w:b/>
                <w:bCs/>
              </w:rPr>
              <w:t>Field Research / Travel</w:t>
            </w:r>
          </w:p>
        </w:tc>
        <w:tc>
          <w:tcPr>
            <w:tcW w:w="4269" w:type="dxa"/>
          </w:tcPr>
          <w:p w14:paraId="76AC03C6" w14:textId="77777777" w:rsidR="00887356" w:rsidRDefault="00887356" w:rsidP="00887356">
            <w:pPr>
              <w:pStyle w:val="Compact"/>
            </w:pPr>
          </w:p>
        </w:tc>
        <w:tc>
          <w:tcPr>
            <w:tcW w:w="0" w:type="auto"/>
          </w:tcPr>
          <w:p w14:paraId="76AC03C7" w14:textId="77777777" w:rsidR="00887356" w:rsidRDefault="00887356" w:rsidP="00887356">
            <w:pPr>
              <w:pStyle w:val="Compact"/>
            </w:pPr>
          </w:p>
        </w:tc>
      </w:tr>
      <w:tr w:rsidR="00E540CC" w14:paraId="2725FCF2" w14:textId="77777777" w:rsidTr="00C27709">
        <w:trPr>
          <w:trHeight w:val="379"/>
        </w:trPr>
        <w:tc>
          <w:tcPr>
            <w:tcW w:w="2802" w:type="dxa"/>
          </w:tcPr>
          <w:p w14:paraId="63DA29E6" w14:textId="77777777" w:rsidR="00E540CC" w:rsidRPr="00E540CC" w:rsidRDefault="00E540CC" w:rsidP="00887356">
            <w:pPr>
              <w:pStyle w:val="Compact"/>
              <w:rPr>
                <w:b/>
                <w:bCs/>
              </w:rPr>
            </w:pPr>
          </w:p>
        </w:tc>
        <w:tc>
          <w:tcPr>
            <w:tcW w:w="4269" w:type="dxa"/>
          </w:tcPr>
          <w:p w14:paraId="43865B8F" w14:textId="77777777" w:rsidR="00E540CC" w:rsidRDefault="00E540CC" w:rsidP="00887356">
            <w:pPr>
              <w:pStyle w:val="Compact"/>
            </w:pPr>
          </w:p>
        </w:tc>
        <w:tc>
          <w:tcPr>
            <w:tcW w:w="0" w:type="auto"/>
          </w:tcPr>
          <w:p w14:paraId="14735238" w14:textId="77777777" w:rsidR="00E540CC" w:rsidRDefault="00E540CC" w:rsidP="00887356">
            <w:pPr>
              <w:pStyle w:val="Compact"/>
            </w:pPr>
          </w:p>
        </w:tc>
      </w:tr>
      <w:tr w:rsidR="00887356" w14:paraId="76AC03CC" w14:textId="77777777" w:rsidTr="00C27709">
        <w:trPr>
          <w:trHeight w:val="395"/>
        </w:trPr>
        <w:tc>
          <w:tcPr>
            <w:tcW w:w="2802" w:type="dxa"/>
          </w:tcPr>
          <w:p w14:paraId="76AC03C9" w14:textId="77777777" w:rsidR="00887356" w:rsidRPr="00E540CC" w:rsidRDefault="00887356" w:rsidP="00887356">
            <w:pPr>
              <w:pStyle w:val="Compact"/>
              <w:rPr>
                <w:b/>
                <w:bCs/>
              </w:rPr>
            </w:pPr>
            <w:r w:rsidRPr="00E540CC">
              <w:rPr>
                <w:b/>
                <w:bCs/>
              </w:rPr>
              <w:t>Content Creation</w:t>
            </w:r>
          </w:p>
        </w:tc>
        <w:tc>
          <w:tcPr>
            <w:tcW w:w="4269" w:type="dxa"/>
          </w:tcPr>
          <w:p w14:paraId="76AC03CA" w14:textId="77777777" w:rsidR="00887356" w:rsidRDefault="00887356" w:rsidP="00887356">
            <w:pPr>
              <w:pStyle w:val="Compact"/>
            </w:pPr>
          </w:p>
        </w:tc>
        <w:tc>
          <w:tcPr>
            <w:tcW w:w="0" w:type="auto"/>
          </w:tcPr>
          <w:p w14:paraId="76AC03CB" w14:textId="77777777" w:rsidR="00887356" w:rsidRDefault="00887356" w:rsidP="00887356">
            <w:pPr>
              <w:pStyle w:val="Compact"/>
            </w:pPr>
          </w:p>
        </w:tc>
      </w:tr>
      <w:tr w:rsidR="00997692" w14:paraId="4E2FE028" w14:textId="77777777" w:rsidTr="00C27709">
        <w:trPr>
          <w:trHeight w:val="395"/>
        </w:trPr>
        <w:tc>
          <w:tcPr>
            <w:tcW w:w="2802" w:type="dxa"/>
          </w:tcPr>
          <w:p w14:paraId="53F00488" w14:textId="77777777" w:rsidR="00997692" w:rsidRPr="00E540CC" w:rsidRDefault="00997692" w:rsidP="00887356">
            <w:pPr>
              <w:pStyle w:val="Compact"/>
              <w:rPr>
                <w:b/>
                <w:bCs/>
              </w:rPr>
            </w:pPr>
          </w:p>
        </w:tc>
        <w:tc>
          <w:tcPr>
            <w:tcW w:w="4269" w:type="dxa"/>
          </w:tcPr>
          <w:p w14:paraId="39EABA56" w14:textId="77777777" w:rsidR="00997692" w:rsidRDefault="00997692" w:rsidP="00887356">
            <w:pPr>
              <w:pStyle w:val="Compact"/>
            </w:pPr>
          </w:p>
        </w:tc>
        <w:tc>
          <w:tcPr>
            <w:tcW w:w="0" w:type="auto"/>
          </w:tcPr>
          <w:p w14:paraId="7CFB426A" w14:textId="77777777" w:rsidR="00997692" w:rsidRDefault="00997692" w:rsidP="00887356">
            <w:pPr>
              <w:pStyle w:val="Compact"/>
            </w:pPr>
          </w:p>
        </w:tc>
      </w:tr>
      <w:tr w:rsidR="00887356" w14:paraId="76AC03D0" w14:textId="77777777" w:rsidTr="00C27709">
        <w:trPr>
          <w:trHeight w:val="379"/>
        </w:trPr>
        <w:tc>
          <w:tcPr>
            <w:tcW w:w="2802" w:type="dxa"/>
          </w:tcPr>
          <w:p w14:paraId="76AC03CD" w14:textId="77777777" w:rsidR="00887356" w:rsidRPr="00E540CC" w:rsidRDefault="00887356" w:rsidP="00887356">
            <w:pPr>
              <w:pStyle w:val="Compact"/>
              <w:rPr>
                <w:b/>
                <w:bCs/>
              </w:rPr>
            </w:pPr>
            <w:r w:rsidRPr="00E540CC">
              <w:rPr>
                <w:b/>
                <w:bCs/>
              </w:rPr>
              <w:t>Design &amp; Media</w:t>
            </w:r>
          </w:p>
        </w:tc>
        <w:tc>
          <w:tcPr>
            <w:tcW w:w="4269" w:type="dxa"/>
          </w:tcPr>
          <w:p w14:paraId="76AC03CE" w14:textId="77777777" w:rsidR="00887356" w:rsidRDefault="00887356" w:rsidP="00887356">
            <w:pPr>
              <w:pStyle w:val="Compact"/>
            </w:pPr>
          </w:p>
        </w:tc>
        <w:tc>
          <w:tcPr>
            <w:tcW w:w="0" w:type="auto"/>
          </w:tcPr>
          <w:p w14:paraId="76AC03CF" w14:textId="77777777" w:rsidR="00887356" w:rsidRDefault="00887356" w:rsidP="00887356">
            <w:pPr>
              <w:pStyle w:val="Compact"/>
            </w:pPr>
          </w:p>
        </w:tc>
      </w:tr>
      <w:tr w:rsidR="00E540CC" w14:paraId="7686DF29" w14:textId="77777777" w:rsidTr="00C27709">
        <w:trPr>
          <w:trHeight w:val="379"/>
        </w:trPr>
        <w:tc>
          <w:tcPr>
            <w:tcW w:w="2802" w:type="dxa"/>
          </w:tcPr>
          <w:p w14:paraId="06D09498" w14:textId="77777777" w:rsidR="00E540CC" w:rsidRPr="00E540CC" w:rsidRDefault="00E540CC" w:rsidP="00887356">
            <w:pPr>
              <w:pStyle w:val="Compact"/>
              <w:rPr>
                <w:b/>
                <w:bCs/>
              </w:rPr>
            </w:pPr>
          </w:p>
        </w:tc>
        <w:tc>
          <w:tcPr>
            <w:tcW w:w="4269" w:type="dxa"/>
          </w:tcPr>
          <w:p w14:paraId="0AE14272" w14:textId="77777777" w:rsidR="00E540CC" w:rsidRDefault="00E540CC" w:rsidP="00887356">
            <w:pPr>
              <w:pStyle w:val="Compact"/>
            </w:pPr>
          </w:p>
        </w:tc>
        <w:tc>
          <w:tcPr>
            <w:tcW w:w="0" w:type="auto"/>
          </w:tcPr>
          <w:p w14:paraId="7EBEBDDE" w14:textId="77777777" w:rsidR="00E540CC" w:rsidRDefault="00E540CC" w:rsidP="00887356">
            <w:pPr>
              <w:pStyle w:val="Compact"/>
            </w:pPr>
          </w:p>
        </w:tc>
      </w:tr>
      <w:tr w:rsidR="00887356" w14:paraId="76AC03D4" w14:textId="77777777" w:rsidTr="00C27709">
        <w:trPr>
          <w:trHeight w:val="379"/>
        </w:trPr>
        <w:tc>
          <w:tcPr>
            <w:tcW w:w="2802" w:type="dxa"/>
          </w:tcPr>
          <w:p w14:paraId="76AC03D1" w14:textId="77777777" w:rsidR="00887356" w:rsidRPr="00E540CC" w:rsidRDefault="00887356" w:rsidP="00887356">
            <w:pPr>
              <w:pStyle w:val="Compact"/>
              <w:rPr>
                <w:b/>
                <w:bCs/>
              </w:rPr>
            </w:pPr>
            <w:r w:rsidRPr="00E540CC">
              <w:rPr>
                <w:b/>
                <w:bCs/>
              </w:rPr>
              <w:t>Administration</w:t>
            </w:r>
          </w:p>
        </w:tc>
        <w:tc>
          <w:tcPr>
            <w:tcW w:w="4269" w:type="dxa"/>
          </w:tcPr>
          <w:p w14:paraId="76AC03D2" w14:textId="77777777" w:rsidR="00887356" w:rsidRDefault="00887356" w:rsidP="00887356">
            <w:pPr>
              <w:pStyle w:val="Compact"/>
            </w:pPr>
          </w:p>
        </w:tc>
        <w:tc>
          <w:tcPr>
            <w:tcW w:w="0" w:type="auto"/>
          </w:tcPr>
          <w:p w14:paraId="76AC03D3" w14:textId="77777777" w:rsidR="00887356" w:rsidRDefault="00887356" w:rsidP="00887356">
            <w:pPr>
              <w:pStyle w:val="Compact"/>
            </w:pPr>
          </w:p>
        </w:tc>
      </w:tr>
      <w:tr w:rsidR="00997692" w14:paraId="01E224D4" w14:textId="77777777" w:rsidTr="00C27709">
        <w:trPr>
          <w:trHeight w:val="379"/>
        </w:trPr>
        <w:tc>
          <w:tcPr>
            <w:tcW w:w="2802" w:type="dxa"/>
          </w:tcPr>
          <w:p w14:paraId="6D27BC75" w14:textId="77777777" w:rsidR="00997692" w:rsidRPr="00E540CC" w:rsidRDefault="00997692" w:rsidP="00887356">
            <w:pPr>
              <w:pStyle w:val="Compact"/>
              <w:rPr>
                <w:b/>
                <w:bCs/>
              </w:rPr>
            </w:pPr>
          </w:p>
        </w:tc>
        <w:tc>
          <w:tcPr>
            <w:tcW w:w="4269" w:type="dxa"/>
          </w:tcPr>
          <w:p w14:paraId="2875CE90" w14:textId="77777777" w:rsidR="00997692" w:rsidRDefault="00997692" w:rsidP="00887356">
            <w:pPr>
              <w:pStyle w:val="Compact"/>
            </w:pPr>
          </w:p>
        </w:tc>
        <w:tc>
          <w:tcPr>
            <w:tcW w:w="0" w:type="auto"/>
          </w:tcPr>
          <w:p w14:paraId="4A82401B" w14:textId="77777777" w:rsidR="00997692" w:rsidRDefault="00997692" w:rsidP="00887356">
            <w:pPr>
              <w:pStyle w:val="Compact"/>
            </w:pPr>
          </w:p>
        </w:tc>
      </w:tr>
      <w:tr w:rsidR="00887356" w14:paraId="76AC03D8" w14:textId="77777777" w:rsidTr="00C27709">
        <w:trPr>
          <w:trHeight w:val="395"/>
        </w:trPr>
        <w:tc>
          <w:tcPr>
            <w:tcW w:w="2802" w:type="dxa"/>
          </w:tcPr>
          <w:p w14:paraId="76AC03D5" w14:textId="77777777" w:rsidR="00887356" w:rsidRPr="00E540CC" w:rsidRDefault="00887356" w:rsidP="00887356">
            <w:pPr>
              <w:pStyle w:val="Compact"/>
              <w:rPr>
                <w:b/>
                <w:bCs/>
              </w:rPr>
            </w:pPr>
            <w:r w:rsidRPr="00E540CC">
              <w:rPr>
                <w:b/>
                <w:bCs/>
              </w:rPr>
              <w:t>Other expenses</w:t>
            </w:r>
          </w:p>
        </w:tc>
        <w:tc>
          <w:tcPr>
            <w:tcW w:w="4269" w:type="dxa"/>
          </w:tcPr>
          <w:p w14:paraId="76AC03D6" w14:textId="77777777" w:rsidR="00887356" w:rsidRDefault="00887356" w:rsidP="00887356">
            <w:pPr>
              <w:pStyle w:val="Compact"/>
            </w:pPr>
          </w:p>
        </w:tc>
        <w:tc>
          <w:tcPr>
            <w:tcW w:w="0" w:type="auto"/>
          </w:tcPr>
          <w:p w14:paraId="76AC03D7" w14:textId="77777777" w:rsidR="00887356" w:rsidRDefault="00887356" w:rsidP="00887356">
            <w:pPr>
              <w:pStyle w:val="Compact"/>
            </w:pPr>
          </w:p>
        </w:tc>
      </w:tr>
      <w:tr w:rsidR="00E540CC" w14:paraId="58E2946C" w14:textId="77777777" w:rsidTr="00C27709">
        <w:trPr>
          <w:trHeight w:val="395"/>
        </w:trPr>
        <w:tc>
          <w:tcPr>
            <w:tcW w:w="2802" w:type="dxa"/>
          </w:tcPr>
          <w:p w14:paraId="24DD0972" w14:textId="77777777" w:rsidR="00E540CC" w:rsidRPr="00E540CC" w:rsidRDefault="00E540CC" w:rsidP="00887356">
            <w:pPr>
              <w:pStyle w:val="Compact"/>
              <w:rPr>
                <w:b/>
                <w:bCs/>
              </w:rPr>
            </w:pPr>
          </w:p>
        </w:tc>
        <w:tc>
          <w:tcPr>
            <w:tcW w:w="4269" w:type="dxa"/>
          </w:tcPr>
          <w:p w14:paraId="4EC02DBC" w14:textId="77777777" w:rsidR="00E540CC" w:rsidRDefault="00E540CC" w:rsidP="00887356">
            <w:pPr>
              <w:pStyle w:val="Compact"/>
            </w:pPr>
          </w:p>
        </w:tc>
        <w:tc>
          <w:tcPr>
            <w:tcW w:w="0" w:type="auto"/>
          </w:tcPr>
          <w:p w14:paraId="3DA75E89" w14:textId="77777777" w:rsidR="00E540CC" w:rsidRDefault="00E540CC" w:rsidP="00887356">
            <w:pPr>
              <w:pStyle w:val="Compact"/>
            </w:pPr>
          </w:p>
        </w:tc>
      </w:tr>
      <w:tr w:rsidR="00887356" w14:paraId="76AC03DC" w14:textId="77777777" w:rsidTr="00C27709">
        <w:trPr>
          <w:trHeight w:val="379"/>
        </w:trPr>
        <w:tc>
          <w:tcPr>
            <w:tcW w:w="2802" w:type="dxa"/>
          </w:tcPr>
          <w:p w14:paraId="76AC03D9" w14:textId="77777777" w:rsidR="00887356" w:rsidRDefault="00887356" w:rsidP="00887356">
            <w:pPr>
              <w:pStyle w:val="Compact"/>
            </w:pPr>
            <w:r>
              <w:rPr>
                <w:b/>
                <w:bCs/>
              </w:rPr>
              <w:t>Total Expenses</w:t>
            </w:r>
          </w:p>
        </w:tc>
        <w:tc>
          <w:tcPr>
            <w:tcW w:w="4269" w:type="dxa"/>
          </w:tcPr>
          <w:p w14:paraId="76AC03DA" w14:textId="77777777" w:rsidR="00887356" w:rsidRDefault="00887356" w:rsidP="00887356">
            <w:pPr>
              <w:pStyle w:val="Compact"/>
            </w:pPr>
          </w:p>
        </w:tc>
        <w:tc>
          <w:tcPr>
            <w:tcW w:w="0" w:type="auto"/>
          </w:tcPr>
          <w:p w14:paraId="76AC03DB" w14:textId="388C4C9E" w:rsidR="00887356" w:rsidRDefault="00997692" w:rsidP="00887356">
            <w:pPr>
              <w:pStyle w:val="Compact"/>
            </w:pPr>
            <w:r>
              <w:t>€68</w:t>
            </w:r>
          </w:p>
        </w:tc>
      </w:tr>
    </w:tbl>
    <w:p w14:paraId="76AC03DD" w14:textId="77777777" w:rsidR="0051698F" w:rsidRDefault="00000000">
      <w:r>
        <w:pict w14:anchorId="76AC03FA">
          <v:rect id="_x0000_i1029" style="width:0;height:1.5pt" o:hralign="center" o:hrstd="t" o:hr="t"/>
        </w:pict>
      </w:r>
    </w:p>
    <w:p w14:paraId="3AB0E92C" w14:textId="77777777" w:rsidR="00997692" w:rsidRDefault="00997692">
      <w:pPr>
        <w:rPr>
          <w:rFonts w:asciiTheme="majorHAnsi" w:eastAsiaTheme="majorEastAsia" w:hAnsiTheme="majorHAnsi" w:cstheme="majorBidi"/>
          <w:color w:val="0F4761" w:themeColor="accent1" w:themeShade="BF"/>
          <w:sz w:val="32"/>
          <w:szCs w:val="32"/>
        </w:rPr>
      </w:pPr>
      <w:bookmarkStart w:id="5" w:name="allocation-of-funds"/>
      <w:bookmarkEnd w:id="4"/>
      <w:r>
        <w:br w:type="page"/>
      </w:r>
    </w:p>
    <w:p w14:paraId="76AC03DE" w14:textId="02F2E111" w:rsidR="0051698F" w:rsidRDefault="00000000">
      <w:pPr>
        <w:pStyle w:val="Heading2"/>
      </w:pPr>
      <w:r>
        <w:lastRenderedPageBreak/>
        <w:t>5. Allocation of Funds</w:t>
      </w:r>
    </w:p>
    <w:p w14:paraId="471B0F26" w14:textId="53057D44" w:rsidR="008556C0" w:rsidRPr="008556C0" w:rsidRDefault="008556C0" w:rsidP="008556C0">
      <w:pPr>
        <w:rPr>
          <w:lang w:val="en-NL"/>
        </w:rPr>
      </w:pPr>
      <w:r w:rsidRPr="008556C0">
        <w:rPr>
          <w:lang w:val="en-NL"/>
        </w:rPr>
        <w:t xml:space="preserve">As no </w:t>
      </w:r>
      <w:r w:rsidR="00D064EC" w:rsidRPr="008E5F86">
        <w:t>operational or external funding income</w:t>
      </w:r>
      <w:r w:rsidR="00D064EC">
        <w:t xml:space="preserve"> was generated</w:t>
      </w:r>
      <w:r w:rsidRPr="008556C0">
        <w:rPr>
          <w:lang w:val="en-NL"/>
        </w:rPr>
        <w:t xml:space="preserve"> </w:t>
      </w:r>
      <w:r w:rsidR="00540335">
        <w:rPr>
          <w:lang w:val="en-NL"/>
        </w:rPr>
        <w:t>and,</w:t>
      </w:r>
      <w:r w:rsidRPr="008556C0">
        <w:rPr>
          <w:lang w:val="en-NL"/>
        </w:rPr>
        <w:t xml:space="preserve"> </w:t>
      </w:r>
      <w:r w:rsidR="00540335">
        <w:t>n</w:t>
      </w:r>
      <w:r w:rsidR="00D064EC" w:rsidRPr="0017523F">
        <w:t>o conservation or project activity expenses beyond basic infrastructure</w:t>
      </w:r>
      <w:r w:rsidR="00D064EC" w:rsidRPr="00DD368E">
        <w:t xml:space="preserve"> were recorded</w:t>
      </w:r>
      <w:r w:rsidRPr="008556C0">
        <w:rPr>
          <w:lang w:val="en-NL"/>
        </w:rPr>
        <w:t xml:space="preserve"> during the 2025 reporting period, no financial resources were allocated through the project budget. Nevertheless, the following areas represent the intended allocation framework for future years and reflect where resources would be directed once funding becomes available.</w:t>
      </w:r>
    </w:p>
    <w:p w14:paraId="7420F6D9" w14:textId="77777777" w:rsidR="008556C0" w:rsidRPr="008556C0" w:rsidRDefault="008556C0" w:rsidP="008556C0">
      <w:pPr>
        <w:numPr>
          <w:ilvl w:val="0"/>
          <w:numId w:val="7"/>
        </w:numPr>
        <w:rPr>
          <w:lang w:val="en-NL"/>
        </w:rPr>
      </w:pPr>
      <w:r w:rsidRPr="008556C0">
        <w:rPr>
          <w:b/>
          <w:bCs/>
          <w:lang w:val="en-NL"/>
        </w:rPr>
        <w:t>Conservation &amp; education activities:</w:t>
      </w:r>
      <w:r w:rsidRPr="008556C0">
        <w:rPr>
          <w:lang w:val="en-NL"/>
        </w:rPr>
        <w:t xml:space="preserve"> No funds allocated in 2025. Efforts during this phase focused on conceptual development and knowledge gathering rather than financed conservation actions.</w:t>
      </w:r>
    </w:p>
    <w:p w14:paraId="2FAADF11" w14:textId="77777777" w:rsidR="008556C0" w:rsidRPr="008556C0" w:rsidRDefault="008556C0" w:rsidP="008556C0">
      <w:pPr>
        <w:numPr>
          <w:ilvl w:val="0"/>
          <w:numId w:val="7"/>
        </w:numPr>
        <w:rPr>
          <w:lang w:val="en-NL"/>
        </w:rPr>
      </w:pPr>
      <w:r w:rsidRPr="008556C0">
        <w:rPr>
          <w:b/>
          <w:bCs/>
          <w:lang w:val="en-NL"/>
        </w:rPr>
        <w:t>Digital infrastructure &amp; content:</w:t>
      </w:r>
      <w:r w:rsidRPr="008556C0">
        <w:rPr>
          <w:lang w:val="en-NL"/>
        </w:rPr>
        <w:t xml:space="preserve"> Core digital infrastructure, including website hosting and basic tools, was supported privately by the project founder.</w:t>
      </w:r>
    </w:p>
    <w:p w14:paraId="493C48F2" w14:textId="77777777" w:rsidR="008556C0" w:rsidRPr="008556C0" w:rsidRDefault="008556C0" w:rsidP="008556C0">
      <w:pPr>
        <w:numPr>
          <w:ilvl w:val="0"/>
          <w:numId w:val="7"/>
        </w:numPr>
        <w:rPr>
          <w:lang w:val="en-NL"/>
        </w:rPr>
      </w:pPr>
      <w:r w:rsidRPr="008556C0">
        <w:rPr>
          <w:b/>
          <w:bCs/>
          <w:lang w:val="en-NL"/>
        </w:rPr>
        <w:t>Community &amp; outreach:</w:t>
      </w:r>
      <w:r w:rsidRPr="008556C0">
        <w:rPr>
          <w:lang w:val="en-NL"/>
        </w:rPr>
        <w:t xml:space="preserve"> No financial resources were allocated. Community building was limited to non-monetary activities such as content publication and informational outreach.</w:t>
      </w:r>
    </w:p>
    <w:p w14:paraId="28C7477A" w14:textId="77777777" w:rsidR="008556C0" w:rsidRPr="008556C0" w:rsidRDefault="008556C0" w:rsidP="008556C0">
      <w:pPr>
        <w:numPr>
          <w:ilvl w:val="0"/>
          <w:numId w:val="7"/>
        </w:numPr>
        <w:rPr>
          <w:lang w:val="en-NL"/>
        </w:rPr>
      </w:pPr>
      <w:r w:rsidRPr="008556C0">
        <w:rPr>
          <w:b/>
          <w:bCs/>
          <w:lang w:val="en-NL"/>
        </w:rPr>
        <w:t>Research &amp; documentation:</w:t>
      </w:r>
      <w:r w:rsidRPr="008556C0">
        <w:rPr>
          <w:lang w:val="en-NL"/>
        </w:rPr>
        <w:t xml:space="preserve"> Research and documentation work carried out in 2025 was based on personal time investment and existing knowledge sources, without direct financial expenditure.</w:t>
      </w:r>
    </w:p>
    <w:p w14:paraId="000DEBD1" w14:textId="77777777" w:rsidR="008556C0" w:rsidRPr="008556C0" w:rsidRDefault="008556C0" w:rsidP="008556C0">
      <w:pPr>
        <w:rPr>
          <w:lang w:val="en-NL"/>
        </w:rPr>
      </w:pPr>
      <w:r w:rsidRPr="008556C0">
        <w:rPr>
          <w:lang w:val="en-NL"/>
        </w:rPr>
        <w:t>Overall, strategic priority in 2025 was placed on establishing a solid foundation for the project, defining its scope, and preparing the groundwork for transparent and goal-oriented use of funds in future reporting periods.</w:t>
      </w:r>
    </w:p>
    <w:p w14:paraId="76AC03E5" w14:textId="77777777" w:rsidR="0051698F" w:rsidRDefault="00000000">
      <w:r>
        <w:pict w14:anchorId="76AC03FB">
          <v:rect id="_x0000_i1030" style="width:0;height:1.5pt" o:hralign="center" o:hrstd="t" o:hr="t"/>
        </w:pict>
      </w:r>
    </w:p>
    <w:p w14:paraId="76AC03E6" w14:textId="77777777" w:rsidR="0051698F" w:rsidRDefault="00000000">
      <w:pPr>
        <w:pStyle w:val="Heading2"/>
      </w:pPr>
      <w:bookmarkStart w:id="6" w:name="assets-and-reserves"/>
      <w:bookmarkEnd w:id="5"/>
      <w:r>
        <w:t>6. Assets and Reserves</w:t>
      </w:r>
    </w:p>
    <w:p w14:paraId="76AC03E7" w14:textId="77777777" w:rsidR="0051698F" w:rsidRDefault="00000000">
      <w:pPr>
        <w:pStyle w:val="FirstParagraph"/>
      </w:pPr>
      <w:r>
        <w:t>Overview of financial reserves or assets at the end of the reporting period.</w:t>
      </w:r>
    </w:p>
    <w:p w14:paraId="76AC03E8" w14:textId="22CD1A75" w:rsidR="0051698F" w:rsidRDefault="00000000">
      <w:pPr>
        <w:pStyle w:val="Compact"/>
        <w:numPr>
          <w:ilvl w:val="0"/>
          <w:numId w:val="5"/>
        </w:numPr>
      </w:pPr>
      <w:r>
        <w:t>Cash balance at year end: €</w:t>
      </w:r>
      <w:r w:rsidR="00DA625A">
        <w:t>15</w:t>
      </w:r>
    </w:p>
    <w:p w14:paraId="76AC03E9" w14:textId="77777777" w:rsidR="0051698F" w:rsidRDefault="00000000">
      <w:pPr>
        <w:pStyle w:val="Compact"/>
        <w:numPr>
          <w:ilvl w:val="0"/>
          <w:numId w:val="5"/>
        </w:numPr>
      </w:pPr>
      <w:r>
        <w:t>Reserved funds (if any): €</w:t>
      </w:r>
    </w:p>
    <w:p w14:paraId="76AC03EA" w14:textId="77777777" w:rsidR="0051698F" w:rsidRDefault="00000000">
      <w:pPr>
        <w:pStyle w:val="Compact"/>
        <w:numPr>
          <w:ilvl w:val="0"/>
          <w:numId w:val="5"/>
        </w:numPr>
      </w:pPr>
      <w:r>
        <w:t>Planned use of reserves:</w:t>
      </w:r>
    </w:p>
    <w:p w14:paraId="76AC03EB" w14:textId="77777777" w:rsidR="0051698F" w:rsidRDefault="00000000">
      <w:r>
        <w:pict w14:anchorId="76AC03FC">
          <v:rect id="_x0000_i1031" style="width:0;height:1.5pt" o:hralign="center" o:hrstd="t" o:hr="t"/>
        </w:pict>
      </w:r>
    </w:p>
    <w:p w14:paraId="309B29FC" w14:textId="77777777" w:rsidR="00BB2ACB" w:rsidRDefault="00BB2ACB">
      <w:pPr>
        <w:rPr>
          <w:rFonts w:asciiTheme="majorHAnsi" w:eastAsiaTheme="majorEastAsia" w:hAnsiTheme="majorHAnsi" w:cstheme="majorBidi"/>
          <w:color w:val="0F4761" w:themeColor="accent1" w:themeShade="BF"/>
          <w:sz w:val="32"/>
          <w:szCs w:val="32"/>
        </w:rPr>
      </w:pPr>
      <w:bookmarkStart w:id="7" w:name="outlook-for-the-next-year"/>
      <w:bookmarkEnd w:id="6"/>
      <w:r>
        <w:br w:type="page"/>
      </w:r>
    </w:p>
    <w:p w14:paraId="76AC03EC" w14:textId="3C5C00E5" w:rsidR="0051698F" w:rsidRDefault="00000000">
      <w:pPr>
        <w:pStyle w:val="Heading2"/>
      </w:pPr>
      <w:r>
        <w:lastRenderedPageBreak/>
        <w:t>7. Outlook for the Next Year</w:t>
      </w:r>
    </w:p>
    <w:p w14:paraId="08976C79" w14:textId="77777777" w:rsidR="00BB2ACB" w:rsidRPr="00BB2ACB" w:rsidRDefault="00BB2ACB" w:rsidP="00BB2ACB">
      <w:pPr>
        <w:rPr>
          <w:lang w:val="en-NL"/>
        </w:rPr>
      </w:pPr>
      <w:r w:rsidRPr="00BB2ACB">
        <w:rPr>
          <w:lang w:val="en-NL"/>
        </w:rPr>
        <w:t>The coming year is expected to mark a transition from the start-up phase toward early operational activity. While no guaranteed income streams are forecast at this stage, the project may begin to explore modest funding options such as voluntary donations, small partnerships, the Slovenian Native Slam, or grants aligned with conservation and educational goals.</w:t>
      </w:r>
    </w:p>
    <w:p w14:paraId="34290E10" w14:textId="77777777" w:rsidR="00BB2ACB" w:rsidRPr="00BB2ACB" w:rsidRDefault="00BB2ACB" w:rsidP="00BB2ACB">
      <w:pPr>
        <w:rPr>
          <w:lang w:val="en-NL"/>
        </w:rPr>
      </w:pPr>
      <w:r w:rsidRPr="00BB2ACB">
        <w:rPr>
          <w:lang w:val="en-NL"/>
        </w:rPr>
        <w:t>Planned expenses for the next year are expected to remain limited and primarily related to digital infrastructure, content development, and basic operational needs. Any new expenses will be approached cautiously and scaled in line with available resources.</w:t>
      </w:r>
    </w:p>
    <w:p w14:paraId="260D46D1" w14:textId="77777777" w:rsidR="00BB2ACB" w:rsidRPr="00BB2ACB" w:rsidRDefault="00BB2ACB" w:rsidP="00BB2ACB">
      <w:pPr>
        <w:rPr>
          <w:lang w:val="en-NL"/>
        </w:rPr>
      </w:pPr>
      <w:r w:rsidRPr="00BB2ACB">
        <w:rPr>
          <w:lang w:val="en-NL"/>
        </w:rPr>
        <w:t>Key initiatives for the next year include continued expansion of educational content, further documentation of European native trout populations and river basins, and gradual development of community engagement. Financial decisions will prioritize transparency, sustainability, and direct alignment with the long-term objectives of the European Native Trout Challenge.</w:t>
      </w:r>
    </w:p>
    <w:p w14:paraId="76AC03EE" w14:textId="77777777" w:rsidR="0051698F" w:rsidRDefault="00000000">
      <w:r>
        <w:pict w14:anchorId="76AC03FD">
          <v:rect id="_x0000_i1032" style="width:0;height:1.5pt" o:hralign="center" o:hrstd="t" o:hr="t"/>
        </w:pict>
      </w:r>
    </w:p>
    <w:p w14:paraId="76AC03EF" w14:textId="77777777" w:rsidR="0051698F" w:rsidRDefault="00000000">
      <w:pPr>
        <w:pStyle w:val="Heading2"/>
      </w:pPr>
      <w:bookmarkStart w:id="8" w:name="transparency-statement"/>
      <w:bookmarkEnd w:id="7"/>
      <w:r>
        <w:t>8. Transparency Statement</w:t>
      </w:r>
    </w:p>
    <w:p w14:paraId="76AC03F0" w14:textId="77777777" w:rsidR="0051698F" w:rsidRDefault="00000000">
      <w:pPr>
        <w:pStyle w:val="FirstParagraph"/>
      </w:pPr>
      <w:r>
        <w:t>This financial overview is published to ensure openness and accountability. Figures are reported to the best of our knowledge and reflect the financial reality of the project during the stated period.</w:t>
      </w:r>
    </w:p>
    <w:p w14:paraId="76AC03F1" w14:textId="77777777" w:rsidR="0051698F" w:rsidRDefault="00000000">
      <w:r>
        <w:pict w14:anchorId="76AC03FE">
          <v:rect id="_x0000_i1033" style="width:0;height:1.5pt" o:hralign="center" o:hrstd="t" o:hr="t"/>
        </w:pict>
      </w:r>
    </w:p>
    <w:p w14:paraId="76AC03F2" w14:textId="77777777" w:rsidR="0051698F" w:rsidRDefault="00000000">
      <w:pPr>
        <w:pStyle w:val="Heading2"/>
      </w:pPr>
      <w:bookmarkStart w:id="9" w:name="contact"/>
      <w:bookmarkEnd w:id="8"/>
      <w:r>
        <w:t>9. Contact</w:t>
      </w:r>
    </w:p>
    <w:p w14:paraId="76AC03F3" w14:textId="77777777" w:rsidR="0051698F" w:rsidRDefault="00000000">
      <w:pPr>
        <w:pStyle w:val="FirstParagraph"/>
      </w:pPr>
      <w:r>
        <w:t>For questions regarding this financial overview, please contact:</w:t>
      </w:r>
    </w:p>
    <w:p w14:paraId="76AC03F4" w14:textId="77777777" w:rsidR="0051698F" w:rsidRDefault="00000000">
      <w:pPr>
        <w:pStyle w:val="Compact"/>
        <w:numPr>
          <w:ilvl w:val="0"/>
          <w:numId w:val="6"/>
        </w:numPr>
      </w:pPr>
      <w:r>
        <w:t>Website: europeannativetroutchallenge.com</w:t>
      </w:r>
    </w:p>
    <w:p w14:paraId="76AC03F5" w14:textId="7EC6975B" w:rsidR="0051698F" w:rsidRDefault="00000000">
      <w:pPr>
        <w:pStyle w:val="Compact"/>
        <w:numPr>
          <w:ilvl w:val="0"/>
          <w:numId w:val="6"/>
        </w:numPr>
      </w:pPr>
      <w:r>
        <w:t>Email:</w:t>
      </w:r>
      <w:r w:rsidR="001963A8" w:rsidRPr="001963A8">
        <w:t xml:space="preserve"> J.Rollman@europeannativetroutchallenge.com</w:t>
      </w:r>
      <w:bookmarkEnd w:id="0"/>
      <w:bookmarkEnd w:id="9"/>
    </w:p>
    <w:sectPr w:rsidR="0051698F">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A448AA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3E0F74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3E77EB"/>
    <w:multiLevelType w:val="multilevel"/>
    <w:tmpl w:val="9E60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133269">
    <w:abstractNumId w:val="0"/>
  </w:num>
  <w:num w:numId="2" w16cid:durableId="1137794101">
    <w:abstractNumId w:val="1"/>
  </w:num>
  <w:num w:numId="3" w16cid:durableId="1508210460">
    <w:abstractNumId w:val="1"/>
  </w:num>
  <w:num w:numId="4" w16cid:durableId="357705801">
    <w:abstractNumId w:val="1"/>
  </w:num>
  <w:num w:numId="5" w16cid:durableId="854458500">
    <w:abstractNumId w:val="1"/>
  </w:num>
  <w:num w:numId="6" w16cid:durableId="1997756015">
    <w:abstractNumId w:val="1"/>
  </w:num>
  <w:num w:numId="7" w16cid:durableId="1367560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51698F"/>
    <w:rsid w:val="0017523F"/>
    <w:rsid w:val="001963A8"/>
    <w:rsid w:val="0042337C"/>
    <w:rsid w:val="0045124B"/>
    <w:rsid w:val="0051698F"/>
    <w:rsid w:val="00540335"/>
    <w:rsid w:val="00607E5A"/>
    <w:rsid w:val="006A432C"/>
    <w:rsid w:val="008556C0"/>
    <w:rsid w:val="00887356"/>
    <w:rsid w:val="00894526"/>
    <w:rsid w:val="008E5F86"/>
    <w:rsid w:val="009224F0"/>
    <w:rsid w:val="00997692"/>
    <w:rsid w:val="00AB6D88"/>
    <w:rsid w:val="00AE37F6"/>
    <w:rsid w:val="00B75F6C"/>
    <w:rsid w:val="00BB2ACB"/>
    <w:rsid w:val="00BF7E3C"/>
    <w:rsid w:val="00C27709"/>
    <w:rsid w:val="00D064EC"/>
    <w:rsid w:val="00D42C20"/>
    <w:rsid w:val="00DA625A"/>
    <w:rsid w:val="00DD368E"/>
    <w:rsid w:val="00E540CC"/>
    <w:rsid w:val="00F83709"/>
    <w:rsid w:val="00FA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0389"/>
  <w15:docId w15:val="{E90F88F4-E9B7-4686-8E34-3D50F096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jos rollman</cp:lastModifiedBy>
  <cp:revision>25</cp:revision>
  <dcterms:created xsi:type="dcterms:W3CDTF">2026-01-11T09:17:00Z</dcterms:created>
  <dcterms:modified xsi:type="dcterms:W3CDTF">2026-01-11T09:47:00Z</dcterms:modified>
</cp:coreProperties>
</file>